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c8db8cf8c04411"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50635</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RAZVOJNA AGENCIJA TINTL</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37.330,67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54.648,91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33.798,01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49.134,42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3.532,66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5.514,49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156,1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PRIHODA OD NEFINANCIJSKE IMOVINE (šifre 7-4,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X002, 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3.532,66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5.514,49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156,1</w:t>
            </w:r>
          </w:p>
        </w:tc>
      </w:tr>
    </w:tbl>
    <w:p>
      <w:pPr>
        <w:spacing w:before="0" w:after="0"/>
      </w:pPr>
    </w:p>
    <w:p>
      <w:pPr>
        <w:jc w:val="both"/>
        <w:pStyle w:val="Normal"/>
        <w:spacing w:line="240" w:lineRule="auto"/>
      </w:pPr>
      <w:r>
        <w:rPr>
          <w:sz w:val="24"/>
          <w:rFonts w:ascii="Times New Roman" w:hAnsi="Times New Roman"/>
        </w:rPr>
        <w:t>Stanje novčanih sredstava na žiro računu na dan 30. lipnja 2025.g iznosi 20.295,90 eura.
Nastavno se u Bilješkama obrazlažu numerički podaci i veća odstupanja iskazana u obrascima.
BILJEŠKE UZ OBRAZAC "PR-RAS":
1.	Prihodi od poslovanja u 2025. godini ostvareni su u iznosu od 54.648,91 eura veći su za 46,40%  u odnosu na prethodnu godinu. U strukturi prihoda poslovanja najveći udjel  imaju prihodi iz proračuna ( 40.000,00 eura), prihode iz proračuna Općine Lovas, Općina je ukupnih 40.000,00 eura  doznačila za financiranje rashoda poslovanja, dok za ulaganja u nefinancijsku imovinu nije bilo transfera.  
2.	Prihodi od prodaje nefinancijske imovine nisu realizirani, a nisu niti bili predviđeni financijskim planom za ovo razdoblje 2025. godinu.
3.	Rashodi poslovanja ostvareni su u iznosu od 49.134,42 eura, te su veći za 45,40 % u odnosu na prethodnu godinu. U strukturi rashoda poslovanja najveći udjel (36.719,09 eur ili 74,73 %) imaju rashodi za zaposlene. Ova rashodna pozicija veća je za 45,80 % od realizacije u 2024. godini, a odnosi se na 3 zaposlenih radnika (prosječno godišnje stanje). Slijedeća najveća stavka u strukturi rashoda poslovanja jesu materijalni rashodi (4.214,23 eura ili 8,58 %), a u strukturi materijalnih rashoda najveće pojedinačne stavke jesu rashodi za usluge, rashodi za prijevoz na rad i s rada, te rashodi za energiju                                                
4.	Rashodi za nabavu nefinancijske imovine u 2025. godini nije bilo. 
5.	Poslovanjem u 2025. godini Razvojna agencija TINTL ostvarila je višak prihoda od 5.514,49 eura. Budući da ima 6.548,60 eura prenesenog viška prihoda iz ranijih godina, kumulativno promatrano na dan 30.06.2025. godine ima  12.063,09 eura viška prihoda za pokriće u  narednim poslovnim godinama.
</w:t>
      </w:r>
    </w:p>
    <w:p>
      <w:r>
        <w:br/>
      </w:r>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1.	Na dan 30.06.2025. godine ima ukupno 8.232,80 eura obveza, od čega se ukupan iznos  odnosi na nedospjele obveze. U ukupnoj svoti obveza, 95,58 % ili 7.868,61 eura čine obveze za zaposlene (plaća za 06/2025.), dok se ostatak od 4,42 %  ili 364,19 eura odnosi na materijalne i financijske rashode.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5d8950a9ed7842e1" /></Relationships>
</file>